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1AC" w:rsidRPr="004D51AC" w:rsidRDefault="004D51AC" w:rsidP="004D51AC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caps/>
          <w:kern w:val="32"/>
          <w:sz w:val="28"/>
          <w:szCs w:val="28"/>
          <w:lang w:eastAsia="ru-RU"/>
        </w:rPr>
      </w:pPr>
      <w:r w:rsidRPr="004D51AC">
        <w:rPr>
          <w:rFonts w:ascii="Times New Roman" w:eastAsia="Times New Roman" w:hAnsi="Times New Roman" w:cs="Times New Roman"/>
          <w:bCs/>
          <w:caps/>
          <w:kern w:val="32"/>
          <w:sz w:val="28"/>
          <w:szCs w:val="28"/>
          <w:lang w:eastAsia="ru-RU"/>
        </w:rPr>
        <w:t>Расчёт на  прочность при центральном растяжении статически ОПРЕДЕЛИМОЙ И  неопределимой систем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6.1 Краткие теоретические сведения. Основные определения и формулы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Центральным растяжением (или сжатием) называется такой вид деформации, при котором в поперечном сечении бруса возникает только продольная сила, а все остальные силовые факторы равны нулю. При этом растягивающие продольные силы принято считать </w:t>
      </w:r>
      <w:proofErr w:type="gramStart"/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положительными</w:t>
      </w:r>
      <w:proofErr w:type="gramEnd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а сжимающие -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отрицательными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</w:t>
      </w:r>
      <w:proofErr w:type="gramStart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Рассматривая общий вариант определения внутренних усилий, необходимо пользоваться методом сечений: проекция на какую-либо ось внутренних сил в сечении, действующих со стороны левой части стержня на правую, равна проекции на эту же ось всех внешних усилий, приложенных к левой части.</w:t>
      </w:r>
      <w:proofErr w:type="gramEnd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На основании метода сечений продольная сила в произвольном поперечном сечении бруса численно равна алгебраической сумме проекций на его продольную ось  всех внешних сил, приложенных по одну сторону от рассматриваемого сечения: 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4D51AC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             </w:t>
      </w:r>
      <w:r w:rsidRPr="004D51AC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ab/>
        <w:t xml:space="preserve">                                                           </w:t>
      </w:r>
      <w:r w:rsidRPr="004D51AC">
        <w:rPr>
          <w:rFonts w:ascii="Times New Roman" w:eastAsia="Times New Roman" w:hAnsi="Times New Roman" w:cs="Times New Roman"/>
          <w:b/>
          <w:position w:val="-28"/>
          <w:sz w:val="28"/>
          <w:szCs w:val="20"/>
          <w:lang w:eastAsia="ru-RU"/>
        </w:rPr>
        <w:object w:dxaOrig="10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5pt;height:37.5pt" o:ole="" fillcolor="window">
            <v:imagedata r:id="rId5" o:title=""/>
          </v:shape>
          <o:OLEObject Type="Embed" ProgID="Equation.3" ShapeID="_x0000_i1025" DrawAspect="Content" ObjectID="_1537463883" r:id="rId6"/>
        </w:object>
      </w:r>
      <w:r w:rsidRPr="004D51AC">
        <w:rPr>
          <w:rFonts w:ascii="Times New Roman" w:eastAsia="Times New Roman" w:hAnsi="Times New Roman" w:cs="Times New Roman"/>
          <w:position w:val="-22"/>
          <w:sz w:val="28"/>
          <w:szCs w:val="20"/>
          <w:lang w:eastAsia="ru-RU"/>
        </w:rPr>
        <w:object w:dxaOrig="300" w:dyaOrig="560">
          <v:shape id="_x0000_i1026" type="#_x0000_t75" style="width:15pt;height:27.75pt" o:ole="" fillcolor="window">
            <v:imagedata r:id="rId7" o:title=""/>
          </v:shape>
          <o:OLEObject Type="Embed" ProgID="Equation.3" ShapeID="_x0000_i1026" DrawAspect="Content" ObjectID="_1537463884" r:id="rId8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(6.1)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51AC" w:rsidRPr="004D51AC" w:rsidRDefault="004D51AC" w:rsidP="004D51AC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Интенсивность нормальных сил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σ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 поперечном сечении выражается формулой, в которой параметр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σ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называется нормальным напряжением</w:t>
      </w:r>
    </w:p>
    <w:p w:rsidR="004D51AC" w:rsidRPr="004D51AC" w:rsidRDefault="004D51AC" w:rsidP="004D51AC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</w:t>
      </w:r>
      <w:r w:rsidRPr="004D51AC">
        <w:rPr>
          <w:rFonts w:ascii="Times New Roman" w:eastAsia="Times New Roman" w:hAnsi="Times New Roman" w:cs="Times New Roman"/>
          <w:position w:val="-24"/>
          <w:sz w:val="28"/>
          <w:szCs w:val="20"/>
          <w:lang w:eastAsia="ru-RU"/>
        </w:rPr>
        <w:object w:dxaOrig="1380" w:dyaOrig="620">
          <v:shape id="_x0000_i1027" type="#_x0000_t75" style="width:74.25pt;height:33.75pt" o:ole="">
            <v:imagedata r:id="rId9" o:title=""/>
          </v:shape>
          <o:OLEObject Type="Embed" ProgID="Equation.3" ShapeID="_x0000_i1027" DrawAspect="Content" ObjectID="_1537463885" r:id="rId10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(6.2)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ΔF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элемент  площади поперечного сечения.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В пределах малых удлинений для подавляющего большинства материалов справедлив закон Гука, который устанавливает прямую пропорциональную зависимость между напряжениями</w:t>
      </w:r>
      <w:proofErr w:type="gramStart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σ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 </w:t>
      </w:r>
      <w:proofErr w:type="gramEnd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деформациями 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</w:t>
      </w:r>
      <w:r w:rsidRPr="004D51AC">
        <w:rPr>
          <w:rFonts w:ascii="Times New Roman" w:eastAsia="Times New Roman" w:hAnsi="Times New Roman" w:cs="Times New Roman"/>
          <w:position w:val="-24"/>
          <w:sz w:val="28"/>
          <w:szCs w:val="20"/>
          <w:lang w:eastAsia="ru-RU"/>
        </w:rPr>
        <w:object w:dxaOrig="820" w:dyaOrig="620">
          <v:shape id="_x0000_i1028" type="#_x0000_t75" style="width:43.5pt;height:33pt" o:ole="">
            <v:imagedata r:id="rId11" o:title=""/>
          </v:shape>
          <o:OLEObject Type="Embed" ProgID="Equation.3" ShapeID="_x0000_i1028" DrawAspect="Content" ObjectID="_1537463886" r:id="rId12"/>
        </w:objec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 </w:t>
      </w:r>
      <w:r w:rsidRPr="004D51AC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200" w:dyaOrig="300">
          <v:shape id="_x0000_i1029" type="#_x0000_t75" style="width:9.75pt;height:15pt" o:ole="" fillcolor="window">
            <v:imagedata r:id="rId13" o:title=""/>
          </v:shape>
          <o:OLEObject Type="Embed" ProgID="Equation.3" ShapeID="_x0000_i1029" DrawAspect="Content" ObjectID="_1537463887" r:id="rId14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– длина бруса;  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     Δ</w:t>
      </w:r>
      <w:r w:rsidRPr="004D51AC">
        <w:rPr>
          <w:rFonts w:ascii="Times New Roman" w:eastAsia="Times New Roman" w:hAnsi="Times New Roman" w:cs="Times New Roman"/>
          <w:i/>
          <w:position w:val="-6"/>
          <w:sz w:val="28"/>
          <w:szCs w:val="20"/>
          <w:lang w:eastAsia="ru-RU"/>
        </w:rPr>
        <w:object w:dxaOrig="200" w:dyaOrig="300">
          <v:shape id="_x0000_i1030" type="#_x0000_t75" style="width:9.75pt;height:15pt" o:ole="" fillcolor="window">
            <v:imagedata r:id="rId13" o:title=""/>
          </v:shape>
          <o:OLEObject Type="Embed" ProgID="Equation.3" ShapeID="_x0000_i1030" DrawAspect="Content" ObjectID="_1537463888" r:id="rId15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– удлинение бруса под действием силы 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</w:t>
      </w:r>
      <w:r w:rsidRPr="004D51AC">
        <w:rPr>
          <w:rFonts w:ascii="Times New Roman" w:eastAsia="Times New Roman" w:hAnsi="Times New Roman" w:cs="Times New Roman"/>
          <w:position w:val="-8"/>
          <w:sz w:val="28"/>
          <w:szCs w:val="20"/>
          <w:lang w:eastAsia="ru-RU"/>
        </w:rPr>
        <w:object w:dxaOrig="980" w:dyaOrig="300">
          <v:shape id="_x0000_i1031" type="#_x0000_t75" style="width:48.75pt;height:15pt" o:ole="">
            <v:imagedata r:id="rId16" o:title=""/>
          </v:shape>
          <o:OLEObject Type="Embed" ProgID="Equation.3" ShapeID="_x0000_i1031" DrawAspect="Content" ObjectID="_1537463889" r:id="rId17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                      (6.3)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где</w:t>
      </w:r>
      <w:proofErr w:type="gramStart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Е</w:t>
      </w:r>
      <w:proofErr w:type="gramEnd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модуль упругости первого рода, характеризующий жесткость материала при линейной деформации.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Пользуясь формулами, основанными на законе Гука, (6.3) надо всегда помнить, что эта закономерность справедлива только до предела пропорциональности (</w:t>
      </w:r>
      <w:proofErr w:type="spellStart"/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σ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пц</w:t>
      </w:r>
      <w:proofErr w:type="spellEnd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), представляет собой механическую константу 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материала. Изменение длины бруса длиной «</w:t>
      </w:r>
      <w:r w:rsidRPr="004D51AC">
        <w:rPr>
          <w:rFonts w:ascii="Times New Roman" w:eastAsia="Times New Roman" w:hAnsi="Times New Roman" w:cs="Times New Roman"/>
          <w:position w:val="-6"/>
          <w:sz w:val="28"/>
          <w:szCs w:val="20"/>
          <w:lang w:val="en-US" w:eastAsia="ru-RU"/>
        </w:rPr>
        <w:object w:dxaOrig="200" w:dyaOrig="300">
          <v:shape id="_x0000_i1032" type="#_x0000_t75" style="width:9.75pt;height:15pt" o:ole="" fillcolor="window">
            <v:imagedata r:id="rId13" o:title=""/>
          </v:shape>
          <o:OLEObject Type="Embed" ProgID="Equation.3" ShapeID="_x0000_i1032" DrawAspect="Content" ObjectID="_1537463890" r:id="rId18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», имеющего постоянное сечение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, определяется по формуле:</w:t>
      </w:r>
    </w:p>
    <w:p w:rsidR="004D51AC" w:rsidRPr="004D51AC" w:rsidRDefault="004D51AC" w:rsidP="004D51AC">
      <w:pPr>
        <w:tabs>
          <w:tab w:val="left" w:pos="3544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right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4D51AC">
        <w:rPr>
          <w:rFonts w:ascii="Times New Roman" w:eastAsia="Times New Roman" w:hAnsi="Times New Roman" w:cs="Times New Roman"/>
          <w:position w:val="-26"/>
          <w:sz w:val="28"/>
          <w:szCs w:val="20"/>
          <w:lang w:eastAsia="ru-RU"/>
        </w:rPr>
        <w:object w:dxaOrig="1060" w:dyaOrig="700">
          <v:shape id="_x0000_i1033" type="#_x0000_t75" style="width:53.25pt;height:35.25pt" o:ole="" fillcolor="window">
            <v:imagedata r:id="rId19" o:title=""/>
          </v:shape>
          <o:OLEObject Type="Embed" ProgID="Equation.3" ShapeID="_x0000_i1033" DrawAspect="Content" ObjectID="_1537463891" r:id="rId20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                     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        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 (6.4)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 случае если брус имеет различную площадь и несколько рассредоточенных сил, вычисление удлинения производят по каждому участку, в пределах которого </w:t>
      </w:r>
      <w:r w:rsidRPr="004D51AC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020" w:dyaOrig="279">
          <v:shape id="_x0000_i1034" type="#_x0000_t75" style="width:51pt;height:14.25pt" o:ole="">
            <v:imagedata r:id="rId21" o:title=""/>
          </v:shape>
          <o:OLEObject Type="Embed" ProgID="Equation.3" ShapeID="_x0000_i1034" DrawAspect="Content" ObjectID="_1537463892" r:id="rId22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4D51AC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040" w:dyaOrig="279">
          <v:shape id="_x0000_i1035" type="#_x0000_t75" style="width:51.75pt;height:14.25pt" o:ole="">
            <v:imagedata r:id="rId23" o:title=""/>
          </v:shape>
          <o:OLEObject Type="Embed" ProgID="Equation.3" ShapeID="_x0000_i1035" DrawAspect="Content" ObjectID="_1537463893" r:id="rId24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, а результаты алгебраически суммируют.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Основной задачей расчёта конструкции является обеспечение её прочности в условиях эксплуатации. При этом необходимо обеспечить, чтобы наибольшие напряжения (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σ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max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), полученные в результате расчёта, не превышали некоторого значения, называемого допускаемым напряжением </w:t>
      </w:r>
      <w:r w:rsidRPr="004D51AC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60" w:dyaOrig="340">
          <v:shape id="_x0000_i1036" type="#_x0000_t75" style="width:18pt;height:17.25pt" o:ole="">
            <v:imagedata r:id="rId25" o:title=""/>
          </v:shape>
          <o:OLEObject Type="Embed" ProgID="Equation.3" ShapeID="_x0000_i1036" DrawAspect="Content" ObjectID="_1537463894" r:id="rId26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, то есть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 </w:t>
      </w:r>
      <w:r w:rsidRPr="004D51AC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1040" w:dyaOrig="360">
          <v:shape id="_x0000_i1037" type="#_x0000_t75" style="width:62.25pt;height:21.75pt" o:ole="">
            <v:imagedata r:id="rId27" o:title=""/>
          </v:shape>
          <o:OLEObject Type="Embed" ProgID="Equation.3" ShapeID="_x0000_i1037" DrawAspect="Content" ObjectID="_1537463895" r:id="rId28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.                                            (6.5)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Для конструкций из пластичных материалов (у которых пределы прочности на растяжение и сжатие одинаковы) используется условие прочности в виде </w:t>
      </w:r>
      <w:r w:rsidRPr="004D51AC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1040" w:dyaOrig="360">
          <v:shape id="_x0000_i1038" type="#_x0000_t75" style="width:51.75pt;height:18pt" o:ole="">
            <v:imagedata r:id="rId29" o:title=""/>
          </v:shape>
          <o:OLEObject Type="Embed" ProgID="Equation.3" ShapeID="_x0000_i1038" DrawAspect="Content" ObjectID="_1537463896" r:id="rId30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Прочность конструкций, выполненных из хрупкого материала (чугун, керамика и т.д.) характеризуется различными значениями допускаемого напряжения при сжатии </w:t>
      </w:r>
      <w:r w:rsidRPr="004D51AC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60" w:dyaOrig="360">
          <v:shape id="_x0000_i1039" type="#_x0000_t75" style="width:23.25pt;height:18pt" o:ole="">
            <v:imagedata r:id="rId31" o:title=""/>
          </v:shape>
          <o:OLEObject Type="Embed" ProgID="Equation.3" ShapeID="_x0000_i1039" DrawAspect="Content" ObjectID="_1537463897" r:id="rId32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растяжении </w:t>
      </w:r>
      <w:r w:rsidRPr="004D51AC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480" w:dyaOrig="340">
          <v:shape id="_x0000_i1040" type="#_x0000_t75" style="width:24pt;height:17.25pt" o:ole="">
            <v:imagedata r:id="rId33" o:title=""/>
          </v:shape>
          <o:OLEObject Type="Embed" ProgID="Equation.3" ShapeID="_x0000_i1040" DrawAspect="Content" ObjectID="_1537463898" r:id="rId34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соответствующие условия прочности в этом случае имеют вид: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</w:t>
      </w:r>
      <w:r w:rsidRPr="004D51AC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1160" w:dyaOrig="380">
          <v:shape id="_x0000_i1041" type="#_x0000_t75" style="width:64.5pt;height:20.25pt" o:ole="">
            <v:imagedata r:id="rId35" o:title=""/>
          </v:shape>
          <o:OLEObject Type="Embed" ProgID="Equation.3" ShapeID="_x0000_i1041" DrawAspect="Content" ObjectID="_1537463899" r:id="rId36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  </w:t>
      </w:r>
      <w:r w:rsidRPr="004D51AC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1140" w:dyaOrig="380">
          <v:shape id="_x0000_i1042" type="#_x0000_t75" style="width:60.75pt;height:19.5pt" o:ole="">
            <v:imagedata r:id="rId37" o:title=""/>
          </v:shape>
          <o:OLEObject Type="Embed" ProgID="Equation.3" ShapeID="_x0000_i1042" DrawAspect="Content" ObjectID="_1537463900" r:id="rId38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</w:t>
      </w:r>
      <w:r w:rsidRPr="004D51AC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80" w:dyaOrig="380">
          <v:shape id="_x0000_i1043" type="#_x0000_t75" style="width:24pt;height:18.75pt" o:ole="">
            <v:imagedata r:id="rId39" o:title=""/>
          </v:shape>
          <o:OLEObject Type="Embed" ProgID="Equation.3" ShapeID="_x0000_i1043" DrawAspect="Content" ObjectID="_1537463901" r:id="rId40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и</w:t>
      </w:r>
      <w:r w:rsidRPr="004D51AC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  </w:t>
      </w:r>
      <w:r w:rsidRPr="004D51AC">
        <w:rPr>
          <w:rFonts w:ascii="Times New Roman" w:eastAsia="Times New Roman" w:hAnsi="Times New Roman" w:cs="Times New Roman"/>
          <w:position w:val="-12"/>
          <w:sz w:val="32"/>
          <w:szCs w:val="20"/>
          <w:lang w:eastAsia="ru-RU"/>
        </w:rPr>
        <w:object w:dxaOrig="480" w:dyaOrig="380">
          <v:shape id="_x0000_i1044" type="#_x0000_t75" style="width:24pt;height:18.75pt" o:ole="">
            <v:imagedata r:id="rId41" o:title=""/>
          </v:shape>
          <o:OLEObject Type="Embed" ProgID="Equation.3" ShapeID="_x0000_i1044" DrawAspect="Content" ObjectID="_1537463902" r:id="rId42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– наибольшие   расчётные     напряжения   при  растяжении и   сжатии.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Допускаемые напряжения </w:t>
      </w:r>
      <w:r w:rsidRPr="004D51AC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480" w:dyaOrig="340">
          <v:shape id="_x0000_i1045" type="#_x0000_t75" style="width:24pt;height:17.25pt" o:ole="">
            <v:imagedata r:id="rId43" o:title=""/>
          </v:shape>
          <o:OLEObject Type="Embed" ProgID="Equation.3" ShapeID="_x0000_i1045" DrawAspect="Content" ObjectID="_1537463903" r:id="rId44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4D51AC">
        <w:rPr>
          <w:rFonts w:ascii="Times New Roman" w:eastAsia="Times New Roman" w:hAnsi="Times New Roman" w:cs="Times New Roman"/>
          <w:position w:val="-10"/>
          <w:sz w:val="28"/>
          <w:szCs w:val="20"/>
          <w:lang w:val="en-US" w:eastAsia="ru-RU"/>
        </w:rPr>
        <w:object w:dxaOrig="480" w:dyaOrig="340">
          <v:shape id="_x0000_i1046" type="#_x0000_t75" style="width:24pt;height:17.25pt" o:ole="">
            <v:imagedata r:id="rId45" o:title=""/>
          </v:shape>
          <o:OLEObject Type="Embed" ProgID="Equation.3" ShapeID="_x0000_i1046" DrawAspect="Content" ObjectID="_1537463904" r:id="rId46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4D51AC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60" w:dyaOrig="360">
          <v:shape id="_x0000_i1047" type="#_x0000_t75" style="width:23.25pt;height:18pt" o:ole="">
            <v:imagedata r:id="rId47" o:title=""/>
          </v:shape>
          <o:OLEObject Type="Embed" ProgID="Equation.3" ShapeID="_x0000_i1047" DrawAspect="Content" ObjectID="_1537463905" r:id="rId48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определяются формулами: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</w:t>
      </w:r>
      <w:r w:rsidRPr="004D51AC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1219" w:dyaOrig="680">
          <v:shape id="_x0000_i1048" type="#_x0000_t75" style="width:64.5pt;height:36pt" o:ole="" fillcolor="window">
            <v:imagedata r:id="rId49" o:title=""/>
          </v:shape>
          <o:OLEObject Type="Embed" ProgID="Equation.3" ShapeID="_x0000_i1048" DrawAspect="Content" ObjectID="_1537463906" r:id="rId50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(6.6)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</w:t>
      </w:r>
      <w:r w:rsidRPr="004D51AC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1240" w:dyaOrig="720">
          <v:shape id="_x0000_i1049" type="#_x0000_t75" style="width:64.5pt;height:37.5pt" o:ole="" fillcolor="window">
            <v:imagedata r:id="rId51" o:title=""/>
          </v:shape>
          <o:OLEObject Type="Embed" ProgID="Equation.3" ShapeID="_x0000_i1049" DrawAspect="Content" ObjectID="_1537463907" r:id="rId52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(6.7)  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</w:t>
      </w:r>
      <w:r w:rsidRPr="004D51AC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1140" w:dyaOrig="680">
          <v:shape id="_x0000_i1050" type="#_x0000_t75" style="width:60.75pt;height:36.75pt" o:ole="" fillcolor="window">
            <v:imagedata r:id="rId53" o:title=""/>
          </v:shape>
          <o:OLEObject Type="Embed" ProgID="Equation.3" ShapeID="_x0000_i1050" DrawAspect="Content" ObjectID="_1537463908" r:id="rId54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(6.8)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 </w:t>
      </w:r>
      <w:r w:rsidRPr="004D51AC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260" w:dyaOrig="360">
          <v:shape id="_x0000_i1051" type="#_x0000_t75" style="width:148.5pt;height:18.75pt" o:ole="">
            <v:imagedata r:id="rId55" o:title=""/>
          </v:shape>
          <o:OLEObject Type="Embed" ProgID="Equation.3" ShapeID="_x0000_i1051" DrawAspect="Content" ObjectID="_1537463909" r:id="rId56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–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нормативные  коэффициенты  запаса   прочности, 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имеющие  различное   значение    в  зависимости   от  назначения рассчитываемого элемента конструкции;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4D51AC">
        <w:rPr>
          <w:rFonts w:ascii="Times New Roman" w:eastAsia="Times New Roman" w:hAnsi="Times New Roman" w:cs="Times New Roman"/>
          <w:i/>
          <w:position w:val="-14"/>
          <w:sz w:val="28"/>
          <w:szCs w:val="20"/>
          <w:lang w:eastAsia="ru-RU"/>
        </w:rPr>
        <w:object w:dxaOrig="1140" w:dyaOrig="380">
          <v:shape id="_x0000_i1052" type="#_x0000_t75" style="width:62.25pt;height:21pt" o:ole="">
            <v:imagedata r:id="rId57" o:title=""/>
          </v:shape>
          <o:OLEObject Type="Embed" ProgID="Equation.3" ShapeID="_x0000_i1052" DrawAspect="Content" ObjectID="_1537463910" r:id="rId58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– соответственно пределы текучести и прочности  материала при сжатии (</w:t>
      </w:r>
      <w:proofErr w:type="spellStart"/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σ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вс</w:t>
      </w:r>
      <w:proofErr w:type="spellEnd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) и растяжения (</w:t>
      </w:r>
      <w:proofErr w:type="spellStart"/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σ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вр</w:t>
      </w:r>
      <w:proofErr w:type="spellEnd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).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Использование при определении </w:t>
      </w:r>
      <w:r w:rsidRPr="004D51AC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60" w:dyaOrig="340">
          <v:shape id="_x0000_i1053" type="#_x0000_t75" style="width:18pt;height:17.25pt" o:ole="">
            <v:imagedata r:id="rId59" o:title=""/>
          </v:shape>
          <o:OLEObject Type="Embed" ProgID="Equation.3" ShapeID="_x0000_i1053" DrawAspect="Content" ObjectID="_1537463911" r:id="rId60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пластичных материалов пределов текучести</w:t>
      </w:r>
      <w:proofErr w:type="gramStart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spellStart"/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σ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Т</w:t>
      </w:r>
      <w:proofErr w:type="spellEnd"/>
      <w:proofErr w:type="gramEnd"/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связано с тем, что после достижения в опасной зоне конструкции напряжения </w:t>
      </w:r>
      <w:proofErr w:type="spellStart"/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σ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Т</w:t>
      </w:r>
      <w:proofErr w:type="spellEnd"/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,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деформации могут весьма резко увеличиваться даже при незначительном увеличении нагрузки. Количественная оценка прочности с использованием данных условий называется расчётом по методу допускаемых напряжений. Нагрузка, при которой наибольшие напряжения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σ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max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 элементе конструкции равны допускаемым напряжениям, называется допускаемой. При расчёте конструкций на прочность встречается три вида задач, различающихся формой использования условий прочности:</w:t>
      </w:r>
    </w:p>
    <w:p w:rsidR="004D51AC" w:rsidRPr="004D51AC" w:rsidRDefault="004D51AC" w:rsidP="004D51AC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-  проверка напряжений (проверочный расчёт)</w:t>
      </w:r>
    </w:p>
    <w:p w:rsidR="004D51AC" w:rsidRPr="004D51AC" w:rsidRDefault="004D51AC" w:rsidP="004D51AC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-  подбор сечений (проектный расчёт)</w:t>
      </w:r>
    </w:p>
    <w:p w:rsidR="004D51AC" w:rsidRPr="004D51AC" w:rsidRDefault="004D51AC" w:rsidP="004D51AC">
      <w:pPr>
        <w:tabs>
          <w:tab w:val="num" w:pos="480"/>
          <w:tab w:val="num" w:pos="720"/>
          <w:tab w:val="num" w:pos="1500"/>
        </w:tabs>
        <w:spacing w:after="12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-  определение грузоподъёмности (определение допускаемой нагрузки). 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проверке напряжений, площади поперечных сечений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, а также  продольные усилия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N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известны и расчёт заключается в вычислении  напряжений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σ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Полученное при этом наибольшее расчётное напряжение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sym w:font="Symbol" w:char="F073"/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max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сравнивается с </w:t>
      </w:r>
      <w:proofErr w:type="gramStart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допускаемым</w:t>
      </w:r>
      <w:proofErr w:type="gramEnd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: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               </w:t>
      </w:r>
      <w:r w:rsidRPr="004D51AC">
        <w:rPr>
          <w:rFonts w:ascii="Times New Roman" w:eastAsia="Times New Roman" w:hAnsi="Times New Roman" w:cs="Times New Roman"/>
          <w:position w:val="-24"/>
          <w:sz w:val="28"/>
          <w:szCs w:val="20"/>
          <w:lang w:eastAsia="ru-RU"/>
        </w:rPr>
        <w:object w:dxaOrig="1540" w:dyaOrig="620">
          <v:shape id="_x0000_i1054" type="#_x0000_t75" style="width:82.5pt;height:33.75pt" o:ole="">
            <v:imagedata r:id="rId61" o:title=""/>
          </v:shape>
          <o:OLEObject Type="Embed" ProgID="Equation.3" ShapeID="_x0000_i1054" DrawAspect="Content" ObjectID="_1537463912" r:id="rId62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  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                       (6.9)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Формула (6.9) записана для пластичных материалов, а для хрупких – условий прочности в общем случае должно быть два (см. выше).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подборе сечений определяют требуемые площади поперечных сечений элементов (по известным продольным силам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N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допускаемому напряжению</w:t>
      </w:r>
      <w:r w:rsidRPr="004D51AC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60" w:dyaOrig="340">
          <v:shape id="_x0000_i1055" type="#_x0000_t75" style="width:18pt;height:17.25pt" o:ole="">
            <v:imagedata r:id="rId63" o:title=""/>
          </v:shape>
          <o:OLEObject Type="Embed" ProgID="Equation.3" ShapeID="_x0000_i1055" DrawAspect="Content" ObjectID="_1537463913" r:id="rId64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). Конструктивно принимаемые площади сечений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должны удовлетворять условию прочности в виде: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</w:t>
      </w:r>
      <w:r w:rsidRPr="004D51AC">
        <w:rPr>
          <w:rFonts w:ascii="Times New Roman" w:eastAsia="Times New Roman" w:hAnsi="Times New Roman" w:cs="Times New Roman"/>
          <w:position w:val="-28"/>
          <w:sz w:val="28"/>
          <w:szCs w:val="20"/>
          <w:lang w:eastAsia="ru-RU"/>
        </w:rPr>
        <w:object w:dxaOrig="1380" w:dyaOrig="660">
          <v:shape id="_x0000_i1056" type="#_x0000_t75" style="width:1in;height:34.5pt" o:ole="">
            <v:imagedata r:id="rId65" o:title=""/>
          </v:shape>
          <o:OLEObject Type="Embed" ProgID="Equation.3" ShapeID="_x0000_i1056" DrawAspect="Content" ObjectID="_1537463914" r:id="rId66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                    (6.10)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определении грузоподъёмности по известным значениям 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допускаемому напряжению </w:t>
      </w:r>
      <w:r w:rsidRPr="004D51AC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60" w:dyaOrig="340">
          <v:shape id="_x0000_i1057" type="#_x0000_t75" style="width:18pt;height:17.25pt" o:ole="">
            <v:imagedata r:id="rId67" o:title=""/>
          </v:shape>
          <o:OLEObject Type="Embed" ProgID="Equation.3" ShapeID="_x0000_i1057" DrawAspect="Content" ObjectID="_1537463915" r:id="rId68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вычисляют допускаемые продольные силы: 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left="2880" w:firstLine="720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left="2880" w:firstLine="720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</w:t>
      </w:r>
      <w:r w:rsidRPr="004D51AC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100" w:dyaOrig="340">
          <v:shape id="_x0000_i1058" type="#_x0000_t75" style="width:59.25pt;height:18pt" o:ole="">
            <v:imagedata r:id="rId69" o:title=""/>
          </v:shape>
          <o:OLEObject Type="Embed" ProgID="Equation.3" ShapeID="_x0000_i1058" DrawAspect="Content" ObjectID="_1537463916" r:id="rId70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                          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(6.11)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left="2880" w:firstLine="720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По найденным значениям [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N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]  определяют предельно допускаемые внешние нагрузки </w:t>
      </w:r>
      <w:proofErr w:type="gramStart"/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[ </w:t>
      </w:r>
      <w:proofErr w:type="gramEnd"/>
      <w:r w:rsidRPr="004D51AC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P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]</w:t>
      </w:r>
      <w:r w:rsidRPr="004D51AC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.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этого случая условие прочности имеет вид: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left="2880" w:firstLine="720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left="2880" w:firstLine="720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</w:t>
      </w:r>
      <w:r w:rsidRPr="004D51AC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760" w:dyaOrig="340">
          <v:shape id="_x0000_i1059" type="#_x0000_t75" style="width:39pt;height:17.25pt" o:ole="">
            <v:imagedata r:id="rId71" o:title=""/>
          </v:shape>
          <o:OLEObject Type="Embed" ProgID="Equation.3" ShapeID="_x0000_i1059" DrawAspect="Content" ObjectID="_1537463917" r:id="rId72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                         (6.12)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left="2880" w:firstLine="720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Нормативные коэффициенты запаса прочности </w:t>
      </w:r>
      <w:r w:rsidRPr="004D51AC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440" w:dyaOrig="340">
          <v:shape id="_x0000_i1060" type="#_x0000_t75" style="width:21.75pt;height:17.25pt" o:ole="">
            <v:imagedata r:id="rId73" o:title=""/>
          </v:shape>
          <o:OLEObject Type="Embed" ProgID="Equation.3" ShapeID="_x0000_i1060" DrawAspect="Content" ObjectID="_1537463918" r:id="rId74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4D51AC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440" w:dyaOrig="340">
          <v:shape id="_x0000_i1061" type="#_x0000_t75" style="width:21.75pt;height:17.25pt" o:ole="">
            <v:imagedata r:id="rId75" o:title=""/>
          </v:shape>
          <o:OLEObject Type="Embed" ProgID="Equation.3" ShapeID="_x0000_i1061" DrawAspect="Content" ObjectID="_1537463919" r:id="rId76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4D51AC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20" w:dyaOrig="360">
          <v:shape id="_x0000_i1062" type="#_x0000_t75" style="width:21pt;height:18pt" o:ole="">
            <v:imagedata r:id="rId77" o:title=""/>
          </v:shape>
          <o:OLEObject Type="Embed" ProgID="Equation.3" ShapeID="_x0000_i1062" DrawAspect="Content" ObjectID="_1537463920" r:id="rId78"/>
        </w:objec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устанавливаются нормами и техническими условиями. Эти допускаемые параметры зависят от класса конструкции (капитальная, временная и т.п.), намечаемого срока её эксплуатации, вида нагрузки (статическая, циклическая и </w:t>
      </w: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тому подобное), возможной неоднородности изготовления материалов, и других факторов. В ряде случаев приходится снижать коэффициент запаса в целях уменьшения массы конструкции, а иногда увеличивать, учитывая износ и коррозию материалов.</w:t>
      </w:r>
    </w:p>
    <w:p w:rsidR="004D51AC" w:rsidRPr="004D51AC" w:rsidRDefault="004D51AC" w:rsidP="004D51A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D51AC">
        <w:rPr>
          <w:rFonts w:ascii="Times New Roman" w:eastAsia="Times New Roman" w:hAnsi="Times New Roman" w:cs="Times New Roman"/>
          <w:sz w:val="28"/>
          <w:szCs w:val="20"/>
          <w:lang w:eastAsia="ru-RU"/>
        </w:rPr>
        <w:t>Брусья и шарнирно-стержневые системы, в которых внутренние усилия и опорные реакции от заданной нагрузки можно определить только с помощью уравнений равновесия (уравнений статики), называются статически определимыми. В отличие от них, статически неопределимыми называют системы, расчёт которых нельзя выполнить с помощью одних лишь уравнений равновесия. Поэтому дополнительно составляются  уравнения совместности деформаций. Число дополнительных уравнений характеризует степень  статической  неопределимости  рассматриваемой   конструкции.</w:t>
      </w:r>
    </w:p>
    <w:p w:rsidR="0004209C" w:rsidRPr="004D51AC" w:rsidRDefault="0004209C" w:rsidP="004D51A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4209C" w:rsidRPr="004D51AC" w:rsidSect="004D51A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1AC"/>
    <w:rsid w:val="0004209C"/>
    <w:rsid w:val="004D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3.bin"/><Relationship Id="rId76" Type="http://schemas.openxmlformats.org/officeDocument/2006/relationships/oleObject" Target="embeddings/oleObject37.bin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9" Type="http://schemas.openxmlformats.org/officeDocument/2006/relationships/image" Target="media/image1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74" Type="http://schemas.openxmlformats.org/officeDocument/2006/relationships/oleObject" Target="embeddings/oleObject36.bin"/><Relationship Id="rId79" Type="http://schemas.openxmlformats.org/officeDocument/2006/relationships/fontTable" Target="fontTable.xml"/><Relationship Id="rId5" Type="http://schemas.openxmlformats.org/officeDocument/2006/relationships/image" Target="media/image1.wmf"/><Relationship Id="rId61" Type="http://schemas.openxmlformats.org/officeDocument/2006/relationships/image" Target="media/image28.wmf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20" Type="http://schemas.openxmlformats.org/officeDocument/2006/relationships/oleObject" Target="embeddings/oleObject9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5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2.wmf"/><Relationship Id="rId57" Type="http://schemas.openxmlformats.org/officeDocument/2006/relationships/image" Target="media/image2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1153</Words>
  <Characters>6577</Characters>
  <Application>Microsoft Office Word</Application>
  <DocSecurity>0</DocSecurity>
  <Lines>54</Lines>
  <Paragraphs>15</Paragraphs>
  <ScaleCrop>false</ScaleCrop>
  <Company/>
  <LinksUpToDate>false</LinksUpToDate>
  <CharactersWithSpaces>7715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1</cp:revision>
  <dcterms:created xsi:type="dcterms:W3CDTF">2016-10-08T14:29:00Z</dcterms:created>
  <dcterms:modified xsi:type="dcterms:W3CDTF">2016-10-08T14:30:00Z</dcterms:modified>
</cp:coreProperties>
</file>